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object>
          <v:shape id="_x0000_i1025" o:spt="201" type="#_x0000_t201" style="height:0.75pt;width:0.7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w:control r:id="rId5" w:name="status" w:shapeid="_x0000_i1025"/>
        </w:object>
      </w:r>
      <w:r>
        <w:rPr>
          <w:rFonts w:hint="eastAsia" w:ascii="宋体" w:hAnsi="宋体" w:eastAsia="宋体" w:cs="宋体"/>
          <w:b w:val="0"/>
          <w:bCs/>
          <w:sz w:val="32"/>
          <w:szCs w:val="32"/>
        </w:rPr>
        <w:object>
          <v:shape id="_x0000_i1026" o:spt="201" type="#_x0000_t201" style="height:0.75pt;width:0.7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w:control r:id="rId7" w:name="sqxmxxXmlStr" w:shapeid="_x0000_i1026"/>
        </w:object>
      </w:r>
      <w:r>
        <w:rPr>
          <w:rFonts w:hint="eastAsia" w:ascii="宋体" w:hAnsi="宋体" w:eastAsia="宋体" w:cs="宋体"/>
          <w:b w:val="0"/>
          <w:bCs/>
          <w:sz w:val="32"/>
          <w:szCs w:val="32"/>
        </w:rPr>
        <w:object>
          <v:shape id="_x0000_i1027" o:spt="201" type="#_x0000_t201" style="height:0.75pt;width:0.7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w:control r:id="rId9" w:name="jfgsxxXmlStr" w:shapeid="_x0000_i1027"/>
        </w:object>
      </w:r>
      <w:r>
        <w:rPr>
          <w:rFonts w:hint="eastAsia" w:ascii="宋体" w:hAnsi="宋体" w:eastAsia="宋体" w:cs="宋体"/>
          <w:b w:val="0"/>
          <w:bCs/>
          <w:sz w:val="32"/>
          <w:szCs w:val="32"/>
        </w:rPr>
        <w:object>
          <v:shape id="_x0000_i1028" o:spt="201" type="#_x0000_t201" style="height:0.75pt;width:0.7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w:control r:id="rId10" w:name="cyzkxxXmlStr" w:shapeid="_x0000_i1028"/>
        </w:object>
      </w:r>
      <w:r>
        <w:rPr>
          <w:rFonts w:hint="eastAsia" w:ascii="宋体" w:hAnsi="宋体" w:eastAsia="宋体" w:cs="宋体"/>
          <w:b w:val="0"/>
          <w:bCs/>
          <w:sz w:val="32"/>
          <w:szCs w:val="32"/>
        </w:rPr>
        <w:object>
          <v:shape id="_x0000_i1029" o:spt="201" type="#_x0000_t201" style="height:0.75pt;width:0.7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w:control r:id="rId11" w:name="baseData" w:shapeid="_x0000_i1029"/>
        </w:object>
      </w:r>
      <w:r>
        <w:rPr>
          <w:rFonts w:hint="eastAsia" w:ascii="宋体" w:hAnsi="宋体" w:eastAsia="宋体" w:cs="宋体"/>
          <w:b w:val="0"/>
          <w:bCs/>
          <w:sz w:val="32"/>
          <w:szCs w:val="32"/>
        </w:rPr>
        <w:t>附件</w:t>
      </w: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1</w:t>
      </w:r>
    </w:p>
    <w:p>
      <w:pPr>
        <w:rPr>
          <w:rFonts w:hint="eastAsia"/>
          <w:b w:val="0"/>
          <w:bCs w:val="0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贵州省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</w:rPr>
        <w:t>教育厅2024年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思政课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</w:rPr>
        <w:t>重大课题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选题指南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1.高校讲深、讲透、讲活思政课的路径研究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2.高校思政课质量评价体系研究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习近平总书记“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贵州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足迹”融入高校思政课的价值意蕴与实践路径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4.贵州“四大文化”融入思政课教学研究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5.依托贵州红色资源推进大中小学思想政治教育一体化研究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6.思政课对高校网络舆情的引导机制研究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7.大中小学思政课一体化下高校思政课教学设计研究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8.大中小学思政课一体化共同体建设研究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9.守正创新推进思政课建设内涵式发展研究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10.以多彩“大思政课”拓展全面育人新格局研究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11.贵州“本土”思政课教材建设研究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12.思政小课堂和社会大课堂融通研究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13.着力推动“校家社”思政育人协同化研究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14.“沉浸式”思政实践教学基地建设标准研究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15.习近平新时代中国特色社会主义思想“三进”工作的优化路径研究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16.“习近平新时代中国特色社会主义思想概论”课程实践教学研究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17.“习近平新时代中国特色社会主义思想概论”教学体系优化研究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18.“中国马克思主义与当代”课程教学路径优化研究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19.高校“大思政课”实践教学资源的开发与应用研究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20.大思政背景下高校思想政治教育智库建设研究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21.贵州高校思政课教师“六要”素质及其提升路径研究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22.贵州省思政课教师队伍建设研究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23.新时代贵州高校思政课教师政治能力建设研究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3.xml"/><Relationship Id="rId8" Type="http://schemas.openxmlformats.org/officeDocument/2006/relationships/image" Target="media/image2.wmf"/><Relationship Id="rId7" Type="http://schemas.openxmlformats.org/officeDocument/2006/relationships/control" Target="activeX/activeX2.xml"/><Relationship Id="rId6" Type="http://schemas.openxmlformats.org/officeDocument/2006/relationships/image" Target="media/image1.wmf"/><Relationship Id="rId5" Type="http://schemas.openxmlformats.org/officeDocument/2006/relationships/control" Target="activeX/activeX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control" Target="activeX/activeX5.xml"/><Relationship Id="rId10" Type="http://schemas.openxmlformats.org/officeDocument/2006/relationships/control" Target="activeX/activeX4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